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5ED" w:rsidRPr="007365ED" w:rsidRDefault="007365ED" w:rsidP="007365ED">
      <w:pPr>
        <w:spacing w:after="255" w:line="240" w:lineRule="atLeast"/>
        <w:outlineLvl w:val="3"/>
        <w:rPr>
          <w:rFonts w:ascii="Arial" w:eastAsia="Times New Roman" w:hAnsi="Arial" w:cs="Arial"/>
          <w:b/>
          <w:bCs/>
          <w:color w:val="4D4D4D"/>
          <w:sz w:val="23"/>
          <w:szCs w:val="23"/>
        </w:rPr>
      </w:pPr>
      <w:r w:rsidRPr="007365ED">
        <w:rPr>
          <w:rFonts w:ascii="Arial" w:eastAsia="Times New Roman" w:hAnsi="Arial" w:cs="Arial"/>
          <w:b/>
          <w:bCs/>
          <w:color w:val="4D4D4D"/>
          <w:sz w:val="23"/>
          <w:szCs w:val="23"/>
        </w:rPr>
        <w:t>Местной администрации на праве оперативного управления принадлежит транспортное средство, не поставленное на учет в уполномоченных органах. В установленном порядке планируется передать данный объект бюджетному учреждению (получателю бюджетных средств) с оформлением за получателем имущества права оперативного управления. Какими документами должна быть оформлена данная хозяйственная операция?</w:t>
      </w:r>
    </w:p>
    <w:p w:rsidR="007365ED" w:rsidRPr="007365ED" w:rsidRDefault="007365ED" w:rsidP="007365ED">
      <w:pPr>
        <w:spacing w:after="180" w:line="255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7365ED">
        <w:rPr>
          <w:rFonts w:ascii="Arial" w:eastAsia="Times New Roman" w:hAnsi="Arial" w:cs="Arial"/>
          <w:color w:val="000000"/>
          <w:sz w:val="21"/>
          <w:szCs w:val="21"/>
        </w:rPr>
        <w:t>29 апреля 2011</w:t>
      </w:r>
    </w:p>
    <w:p w:rsidR="007365ED" w:rsidRPr="007365ED" w:rsidRDefault="007365ED" w:rsidP="007365ED">
      <w:pPr>
        <w:spacing w:after="75" w:line="255" w:lineRule="atLeast"/>
        <w:rPr>
          <w:rFonts w:ascii="Arial" w:eastAsia="Times New Roman" w:hAnsi="Arial" w:cs="Arial"/>
          <w:color w:val="000000"/>
          <w:sz w:val="21"/>
          <w:szCs w:val="21"/>
        </w:rPr>
      </w:pPr>
      <w:hyperlink r:id="rId4" w:history="1">
        <w:r w:rsidRPr="007365ED">
          <w:rPr>
            <w:rFonts w:ascii="Arial" w:eastAsia="Times New Roman" w:hAnsi="Arial" w:cs="Arial"/>
            <w:b/>
            <w:bCs/>
            <w:color w:val="FFFFFF"/>
            <w:sz w:val="21"/>
          </w:rPr>
          <w:t>Самый быстрый способ проверить контрагента</w:t>
        </w:r>
      </w:hyperlink>
    </w:p>
    <w:p w:rsidR="007365ED" w:rsidRPr="007365ED" w:rsidRDefault="007365ED" w:rsidP="007365ED">
      <w:pPr>
        <w:spacing w:after="255" w:line="255" w:lineRule="atLeast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7365ED">
        <w:rPr>
          <w:rFonts w:ascii="Arial" w:eastAsia="Times New Roman" w:hAnsi="Arial" w:cs="Arial"/>
          <w:b/>
          <w:bCs/>
          <w:color w:val="000000"/>
          <w:sz w:val="21"/>
        </w:rPr>
        <w:t>Рассмотрев вопрос, мы пришли к следующему выводу: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В данном случае передача транспортного средства должна осуществляться на основании распорядительных документов уполномоченных органов муниципального образования о передаче имущества и его закреплении за принимающим учреждением на праве оперативного управления.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При этом могут быть оформлены следующие первичные документы: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- Акт о приеме-передаче объекта основных средств (кроме зданий, сооружений) (форма 0306001) с приложением технических и других документов на автотранспортное средство;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- Извещение (форма 0504805).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Соответствующие записи в реестр муниципального имущества должны быть внесены в порядке, установленном в Вашем муниципальном образовании.</w:t>
      </w:r>
    </w:p>
    <w:p w:rsidR="007365ED" w:rsidRPr="007365ED" w:rsidRDefault="007365ED" w:rsidP="007365ED">
      <w:pPr>
        <w:spacing w:after="255" w:line="255" w:lineRule="atLeast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7365ED">
        <w:rPr>
          <w:rFonts w:ascii="Arial" w:eastAsia="Times New Roman" w:hAnsi="Arial" w:cs="Arial"/>
          <w:b/>
          <w:bCs/>
          <w:color w:val="000000"/>
          <w:sz w:val="21"/>
        </w:rPr>
        <w:t>Обоснование вывода: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 xml:space="preserve">Имущество, </w:t>
      </w:r>
      <w:proofErr w:type="gramStart"/>
      <w:r w:rsidRPr="007365ED">
        <w:rPr>
          <w:rFonts w:ascii="Arial" w:eastAsia="Times New Roman" w:hAnsi="Arial" w:cs="Arial"/>
          <w:color w:val="000000"/>
          <w:sz w:val="21"/>
          <w:szCs w:val="21"/>
        </w:rPr>
        <w:t>принадлежащее</w:t>
      </w:r>
      <w:proofErr w:type="gramEnd"/>
      <w:r w:rsidRPr="007365ED">
        <w:rPr>
          <w:rFonts w:ascii="Arial" w:eastAsia="Times New Roman" w:hAnsi="Arial" w:cs="Arial"/>
          <w:color w:val="000000"/>
          <w:sz w:val="21"/>
          <w:szCs w:val="21"/>
        </w:rPr>
        <w:t xml:space="preserve"> на праве собственности городским и сельским поселениям, а также другим муниципальным образованиям, является муниципальной собственностью (ст. 215 ГК РФ). От имени муниципального образования права собственника осуществляют, в том числе, уполномоченные органы местного самоуправления (ст.ст. 125, 215 ГК РФ).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Имущество, находящееся в муниципальной собственности, закрепляется за муниципальными учреждениями во владение, пользование и распоряжение на праве оперативного управления (п. 3 ст. 215, ст. 296 ГК РФ).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Передача в оперативное управление имущества должна осуществляться на основании решения уполномоченного органа местного самоуправления, оформленного в установленном порядке (смотрите, в частности, ст. 43 Федерального закона от 06.10.2003 N 131-ФЗ "Об общих принципах организации местного самоуправления в Российской Федерации").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Распорядительный документ муниципального образования о закреплении транспортного средства за учреждением на праве оперативного управления понадобится принимающей стороне, в том числе и для регистрации транспортного средства (</w:t>
      </w:r>
      <w:proofErr w:type="spellStart"/>
      <w:r w:rsidRPr="007365ED">
        <w:rPr>
          <w:rFonts w:ascii="Arial" w:eastAsia="Times New Roman" w:hAnsi="Arial" w:cs="Arial"/>
          <w:color w:val="000000"/>
          <w:sz w:val="21"/>
          <w:szCs w:val="21"/>
        </w:rPr>
        <w:t>пп</w:t>
      </w:r>
      <w:proofErr w:type="spellEnd"/>
      <w:r w:rsidRPr="007365ED">
        <w:rPr>
          <w:rFonts w:ascii="Arial" w:eastAsia="Times New Roman" w:hAnsi="Arial" w:cs="Arial"/>
          <w:color w:val="000000"/>
          <w:sz w:val="21"/>
          <w:szCs w:val="21"/>
        </w:rPr>
        <w:t>. "ж" п. 16 "Административного регламента...", утвержденного приказом МВД России от 24.11.2008 N 1001).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Обращаем Ваше внимание на то, что передача автомобиля муниципальным образованием (собственником) в оперативное управление муниципального учреждения без его изъятия из оперативного управления местной администрации (выступающей в данном случае в качестве казенного учреждения) противоречит нормам действующего законодательства (смотрите, например, определение ВАС РФ от 19.09.2008 N 11648/08).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 xml:space="preserve">Иными словами, в рассматриваемой ситуации принятию муниципальным образованием решения о закреплении имущества за учреждением-получателем на праве оперативного управления должно предшествовать соответствующее решение о прекращении права оперативного управления (изъятии имущества из оперативного управления). </w:t>
      </w:r>
      <w:proofErr w:type="gramStart"/>
      <w:r w:rsidRPr="007365ED">
        <w:rPr>
          <w:rFonts w:ascii="Arial" w:eastAsia="Times New Roman" w:hAnsi="Arial" w:cs="Arial"/>
          <w:color w:val="000000"/>
          <w:sz w:val="21"/>
          <w:szCs w:val="21"/>
        </w:rPr>
        <w:t>Подобные положения могут быть предусмотрены в одном распорядительном документе</w:t>
      </w:r>
      <w:hyperlink r:id="rId5" w:anchor="1" w:history="1">
        <w:r w:rsidRPr="007365ED">
          <w:rPr>
            <w:rFonts w:ascii="Arial" w:eastAsia="Times New Roman" w:hAnsi="Arial" w:cs="Arial"/>
            <w:color w:val="2060A4"/>
            <w:sz w:val="21"/>
            <w:vertAlign w:val="superscript"/>
          </w:rPr>
          <w:t>1</w:t>
        </w:r>
      </w:hyperlink>
      <w:r w:rsidRPr="007365ED">
        <w:rPr>
          <w:rFonts w:ascii="Arial" w:eastAsia="Times New Roman" w:hAnsi="Arial" w:cs="Arial"/>
          <w:color w:val="000000"/>
          <w:sz w:val="21"/>
          <w:szCs w:val="21"/>
        </w:rPr>
        <w:t>.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Кроме того, передача имущества может осуществляться "через казну", если применение подобного порядка будет признано целесообразным в рамках конкретного муниципального образования</w:t>
      </w:r>
      <w:hyperlink r:id="rId6" w:anchor="2" w:history="1">
        <w:r w:rsidRPr="007365ED">
          <w:rPr>
            <w:rFonts w:ascii="Arial" w:eastAsia="Times New Roman" w:hAnsi="Arial" w:cs="Arial"/>
            <w:color w:val="2060A4"/>
            <w:sz w:val="21"/>
            <w:vertAlign w:val="superscript"/>
          </w:rPr>
          <w:t>2</w:t>
        </w:r>
      </w:hyperlink>
      <w:r w:rsidRPr="007365ED">
        <w:rPr>
          <w:rFonts w:ascii="Arial" w:eastAsia="Times New Roman" w:hAnsi="Arial" w:cs="Arial"/>
          <w:color w:val="000000"/>
          <w:sz w:val="21"/>
          <w:szCs w:val="21"/>
        </w:rPr>
        <w:t>.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Федеральным законом от 21.11.1996 N 129-ФЗ "О бухгалтерском учете" (далее - Закон N 129-ФЗ) установлено, что все хозяйственные операции, проводимые организацией, должны оформляться оправдательными документами.</w:t>
      </w:r>
      <w:proofErr w:type="gramEnd"/>
      <w:r w:rsidRPr="007365ED">
        <w:rPr>
          <w:rFonts w:ascii="Arial" w:eastAsia="Times New Roman" w:hAnsi="Arial" w:cs="Arial"/>
          <w:color w:val="000000"/>
          <w:sz w:val="21"/>
          <w:szCs w:val="21"/>
        </w:rPr>
        <w:t xml:space="preserve"> Эти документы служат первичными учетными документами, на основании которых ведется бухгалтерский учет (п. 1 ст. 9 Закона N 129-ФЗ).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lastRenderedPageBreak/>
        <w:t>При этом первичные учетные документы принимаются к учету, если они составлены по форме, содержащейся в альбомах унифицированных форм первичной учетной документации, а документы, форма которых не предусмотрена в этих альбомах, должны содержать обязательные реквизиты, перечисленные в п. 2 ст. 9 Закона N 129-ФЗ.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Аналогичные требования содержит и п. 7 "Инструкции по применению Единого плана счетов бухгалтерского учета...", утвержденной приказом Минфина России от 01.12.2010 N 157н (далее - Инструкция N 157н).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Для оформления включения (выбытия) объектов в (из) соста</w:t>
      </w:r>
      <w:proofErr w:type="gramStart"/>
      <w:r w:rsidRPr="007365ED">
        <w:rPr>
          <w:rFonts w:ascii="Arial" w:eastAsia="Times New Roman" w:hAnsi="Arial" w:cs="Arial"/>
          <w:color w:val="000000"/>
          <w:sz w:val="21"/>
          <w:szCs w:val="21"/>
        </w:rPr>
        <w:t>в(</w:t>
      </w:r>
      <w:proofErr w:type="gramEnd"/>
      <w:r w:rsidRPr="007365ED">
        <w:rPr>
          <w:rFonts w:ascii="Arial" w:eastAsia="Times New Roman" w:hAnsi="Arial" w:cs="Arial"/>
          <w:color w:val="000000"/>
          <w:sz w:val="21"/>
          <w:szCs w:val="21"/>
        </w:rPr>
        <w:t>а) основных средств, в том числе и автотранспортных средств, применяется акт о приеме-передаче объекта основных средств (кроме зданий, сооружений) ОС-1 (форма 0306001) (Указания по применению и заполнению форм первичной документации по учету основных средств, утвержденные постановлением Госкомстата России от 21.01.2003 N 7; п. 6 Инструкции по применению Плана счетов бюджетного учета, утвержденной приказом Минфина России от 06.12.2010 N 162н; "Перечень...", утвержденный приказом Минфина России от 15.12.2010 N 173н, далее - Приказ N 173н).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Обратите внимание, Акт (форма 0306001) обязательно должен содержать сведения как о балансовой (фактической) стоимости передаваемого объекта учета, так и о суммах начисленной на объект нефинансового актива амортизации (п. 29 Инструкции N 157н).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Одновременно с подписанием акта принимающему имущество учреждению должны быть переданы технические и иные документы на автотранспортное средство (технический паспорт, сервисная книжка, гарантийный талон и т.п.).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Кроме того, для обеспечения достоверности учета как у передающей, так и у принимающей стороны может быть оформлено Извещение (форма 0504805) (форма данного извещения, а также порядок его применения утверждены Приказом N 173н).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Соответствующие записи в реестр муниципального имущества должны быть внесены в порядке, установленном в Вашем муниципальном образовании.</w:t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В заключение обращаем Ваше внимание на то, что соблюдение приведенного выше порядка документального оформления передачи транспортного средства позволит отстоять свою позицию в случае возникновения каких-либо претензий со стороны контролирующих органов как передающей, так и принимающей стороне</w:t>
      </w:r>
      <w:hyperlink r:id="rId7" w:anchor="3" w:history="1">
        <w:r w:rsidRPr="007365ED">
          <w:rPr>
            <w:rFonts w:ascii="Arial" w:eastAsia="Times New Roman" w:hAnsi="Arial" w:cs="Arial"/>
            <w:color w:val="2060A4"/>
            <w:sz w:val="21"/>
            <w:vertAlign w:val="superscript"/>
          </w:rPr>
          <w:t>3</w:t>
        </w:r>
      </w:hyperlink>
      <w:r w:rsidRPr="007365ED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7365ED" w:rsidRPr="007365ED" w:rsidRDefault="007365ED" w:rsidP="007365ED">
      <w:pPr>
        <w:spacing w:after="255" w:line="255" w:lineRule="atLeast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r w:rsidRPr="007365ED">
        <w:rPr>
          <w:rFonts w:ascii="Arial" w:eastAsia="Times New Roman" w:hAnsi="Arial" w:cs="Arial"/>
          <w:i/>
          <w:iCs/>
          <w:color w:val="000000"/>
          <w:sz w:val="21"/>
        </w:rPr>
        <w:t>Ответ подготовил:</w:t>
      </w:r>
      <w:r w:rsidRPr="007365ED">
        <w:rPr>
          <w:rFonts w:ascii="Arial" w:eastAsia="Times New Roman" w:hAnsi="Arial" w:cs="Arial"/>
          <w:i/>
          <w:iCs/>
          <w:color w:val="000000"/>
          <w:sz w:val="21"/>
          <w:szCs w:val="21"/>
        </w:rPr>
        <w:br/>
      </w:r>
      <w:r w:rsidRPr="007365ED">
        <w:rPr>
          <w:rFonts w:ascii="Arial" w:eastAsia="Times New Roman" w:hAnsi="Arial" w:cs="Arial"/>
          <w:i/>
          <w:iCs/>
          <w:color w:val="000000"/>
          <w:sz w:val="21"/>
        </w:rPr>
        <w:t>Эксперт службы Правового консалтинга ГАРАНТ</w:t>
      </w:r>
      <w:r w:rsidRPr="007365ED">
        <w:rPr>
          <w:rFonts w:ascii="Arial" w:eastAsia="Times New Roman" w:hAnsi="Arial" w:cs="Arial"/>
          <w:i/>
          <w:iCs/>
          <w:color w:val="000000"/>
          <w:sz w:val="21"/>
          <w:szCs w:val="21"/>
        </w:rPr>
        <w:br/>
      </w:r>
      <w:proofErr w:type="spellStart"/>
      <w:r w:rsidRPr="007365ED">
        <w:rPr>
          <w:rFonts w:ascii="Arial" w:eastAsia="Times New Roman" w:hAnsi="Arial" w:cs="Arial"/>
          <w:i/>
          <w:iCs/>
          <w:color w:val="000000"/>
          <w:sz w:val="21"/>
        </w:rPr>
        <w:t>Семенюк</w:t>
      </w:r>
      <w:proofErr w:type="spellEnd"/>
      <w:r w:rsidRPr="007365ED">
        <w:rPr>
          <w:rFonts w:ascii="Arial" w:eastAsia="Times New Roman" w:hAnsi="Arial" w:cs="Arial"/>
          <w:i/>
          <w:iCs/>
          <w:color w:val="000000"/>
          <w:sz w:val="21"/>
        </w:rPr>
        <w:t xml:space="preserve"> Александр</w:t>
      </w:r>
    </w:p>
    <w:p w:rsidR="007365ED" w:rsidRPr="007365ED" w:rsidRDefault="007365ED" w:rsidP="007365ED">
      <w:pPr>
        <w:spacing w:after="255" w:line="255" w:lineRule="atLeast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r w:rsidRPr="007365ED">
        <w:rPr>
          <w:rFonts w:ascii="Arial" w:eastAsia="Times New Roman" w:hAnsi="Arial" w:cs="Arial"/>
          <w:i/>
          <w:iCs/>
          <w:color w:val="000000"/>
          <w:sz w:val="21"/>
        </w:rPr>
        <w:t>Контроль качества ответа:</w:t>
      </w:r>
      <w:r w:rsidRPr="007365ED">
        <w:rPr>
          <w:rFonts w:ascii="Arial" w:eastAsia="Times New Roman" w:hAnsi="Arial" w:cs="Arial"/>
          <w:i/>
          <w:iCs/>
          <w:color w:val="000000"/>
          <w:sz w:val="21"/>
          <w:szCs w:val="21"/>
        </w:rPr>
        <w:br/>
      </w:r>
      <w:r w:rsidRPr="007365ED">
        <w:rPr>
          <w:rFonts w:ascii="Arial" w:eastAsia="Times New Roman" w:hAnsi="Arial" w:cs="Arial"/>
          <w:i/>
          <w:iCs/>
          <w:color w:val="000000"/>
          <w:sz w:val="21"/>
        </w:rPr>
        <w:t>Рецензент службы Правового консалтинга ГАРАНТ</w:t>
      </w:r>
      <w:r w:rsidRPr="007365ED">
        <w:rPr>
          <w:rFonts w:ascii="Arial" w:eastAsia="Times New Roman" w:hAnsi="Arial" w:cs="Arial"/>
          <w:i/>
          <w:iCs/>
          <w:color w:val="000000"/>
          <w:sz w:val="21"/>
          <w:szCs w:val="21"/>
        </w:rPr>
        <w:br/>
      </w:r>
      <w:r w:rsidRPr="007365ED">
        <w:rPr>
          <w:rFonts w:ascii="Arial" w:eastAsia="Times New Roman" w:hAnsi="Arial" w:cs="Arial"/>
          <w:i/>
          <w:iCs/>
          <w:color w:val="000000"/>
          <w:sz w:val="21"/>
        </w:rPr>
        <w:t>Пименов Владимир</w:t>
      </w:r>
    </w:p>
    <w:p w:rsidR="007365ED" w:rsidRPr="007365ED" w:rsidRDefault="007365ED" w:rsidP="007365ED">
      <w:pPr>
        <w:spacing w:after="255" w:line="255" w:lineRule="atLeast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7365ED">
        <w:rPr>
          <w:rFonts w:ascii="Arial" w:eastAsia="Times New Roman" w:hAnsi="Arial" w:cs="Arial"/>
          <w:color w:val="000000"/>
          <w:sz w:val="21"/>
          <w:szCs w:val="21"/>
        </w:rPr>
        <w:t>5 апреля 2011 г.</w:t>
      </w:r>
    </w:p>
    <w:p w:rsidR="009014F4" w:rsidRPr="007365ED" w:rsidRDefault="007365ED" w:rsidP="007365ED">
      <w:pPr>
        <w:pStyle w:val="a3"/>
        <w:rPr>
          <w:rFonts w:ascii="Times New Roman" w:hAnsi="Times New Roman" w:cs="Times New Roman"/>
          <w:sz w:val="24"/>
          <w:szCs w:val="24"/>
        </w:rPr>
      </w:pP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7365ED">
        <w:rPr>
          <w:rFonts w:ascii="Arial" w:eastAsia="Times New Roman" w:hAnsi="Arial" w:cs="Arial"/>
          <w:color w:val="000000"/>
          <w:sz w:val="21"/>
          <w:szCs w:val="21"/>
        </w:rPr>
        <w:br/>
        <w:t>ГАРАНТ</w:t>
      </w:r>
      <w:proofErr w:type="gramStart"/>
      <w:r w:rsidRPr="007365ED">
        <w:rPr>
          <w:rFonts w:ascii="Arial" w:eastAsia="Times New Roman" w:hAnsi="Arial" w:cs="Arial"/>
          <w:color w:val="000000"/>
          <w:sz w:val="21"/>
          <w:szCs w:val="21"/>
        </w:rPr>
        <w:t>.Р</w:t>
      </w:r>
      <w:proofErr w:type="gramEnd"/>
      <w:r w:rsidRPr="007365ED">
        <w:rPr>
          <w:rFonts w:ascii="Arial" w:eastAsia="Times New Roman" w:hAnsi="Arial" w:cs="Arial"/>
          <w:color w:val="000000"/>
          <w:sz w:val="21"/>
          <w:szCs w:val="21"/>
        </w:rPr>
        <w:t>У:</w:t>
      </w:r>
      <w:r w:rsidRPr="007365ED">
        <w:rPr>
          <w:rFonts w:ascii="Arial" w:eastAsia="Times New Roman" w:hAnsi="Arial" w:cs="Arial"/>
          <w:color w:val="000000"/>
          <w:sz w:val="21"/>
        </w:rPr>
        <w:t> </w:t>
      </w:r>
      <w:hyperlink r:id="rId8" w:anchor="ixzz3Gr2TRN4W" w:history="1">
        <w:r w:rsidRPr="007365ED">
          <w:rPr>
            <w:rFonts w:ascii="Arial" w:eastAsia="Times New Roman" w:hAnsi="Arial" w:cs="Arial"/>
            <w:color w:val="003399"/>
            <w:sz w:val="21"/>
          </w:rPr>
          <w:t>http://www.garant.ru/consult/budget/321050/#ixzz3Gr2TRN4W</w:t>
        </w:r>
      </w:hyperlink>
    </w:p>
    <w:sectPr w:rsidR="009014F4" w:rsidRPr="00736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65ED"/>
    <w:rsid w:val="00470621"/>
    <w:rsid w:val="007365ED"/>
    <w:rsid w:val="009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365E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65ED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7365ED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365ED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736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7365ED"/>
    <w:rPr>
      <w:b/>
      <w:bCs/>
    </w:rPr>
  </w:style>
  <w:style w:type="character" w:styleId="a7">
    <w:name w:val="Emphasis"/>
    <w:basedOn w:val="a0"/>
    <w:uiPriority w:val="20"/>
    <w:qFormat/>
    <w:rsid w:val="007365ED"/>
    <w:rPr>
      <w:i/>
      <w:iCs/>
    </w:rPr>
  </w:style>
  <w:style w:type="character" w:customStyle="1" w:styleId="apple-converted-space">
    <w:name w:val="apple-converted-space"/>
    <w:basedOn w:val="a0"/>
    <w:rsid w:val="007365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42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58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consult/budget/321050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arant.ru/consult/budget/321050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arant.ru/consult/budget/321050/" TargetMode="External"/><Relationship Id="rId5" Type="http://schemas.openxmlformats.org/officeDocument/2006/relationships/hyperlink" Target="http://www.garant.ru/consult/budget/321050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ext.garant.ru/url/?/products/ipo/ekspressproverka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2014-10-22T06:56:00Z</dcterms:created>
  <dcterms:modified xsi:type="dcterms:W3CDTF">2014-10-22T07:15:00Z</dcterms:modified>
</cp:coreProperties>
</file>